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4FAC5BCF" w:rsidR="008222EA" w:rsidRPr="00327BA2" w:rsidRDefault="00934EAD" w:rsidP="009D2B11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9D2B11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6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r w:rsidR="009D2B11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Estereoscopio</w:t>
            </w:r>
            <w:r w:rsidR="00DD1695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 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27A5DC19" w:rsidR="008222EA" w:rsidRPr="00BB0471" w:rsidRDefault="00FD76D9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2D0AF87E" wp14:editId="07E9A3B1">
                  <wp:extent cx="2428875" cy="1060946"/>
                  <wp:effectExtent l="0" t="0" r="0" b="0"/>
                  <wp:docPr id="47" name="Imagen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372" cy="10668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B83EE5" w14:textId="77777777" w:rsidR="009D2B11" w:rsidRDefault="009D2B11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 w:rsidRPr="009D2B11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Estereoscopio </w:t>
            </w:r>
          </w:p>
          <w:p w14:paraId="15307D3B" w14:textId="5251C21C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84B090A" w14:textId="77777777" w:rsidR="009D2B11" w:rsidRDefault="009D2B11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9D2B11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Estereoscopio </w:t>
            </w:r>
          </w:p>
          <w:p w14:paraId="6C7605C4" w14:textId="41A67616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4AF8AE1E" w:rsidR="0015354C" w:rsidRDefault="00FD76D9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5CF2266" wp14:editId="710ED881">
                  <wp:extent cx="2431455" cy="1524000"/>
                  <wp:effectExtent l="0" t="0" r="6985" b="0"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7891132" w14:textId="4C665A94" w:rsidR="00097B2F" w:rsidRDefault="00FD76D9" w:rsidP="00B54096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FD76D9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Acomode su puesto de trabajo a la altura de la mesa, para aprovechar toda la superficie de trabajo, pruebe acercándose a los ocupares si la altura y la posición es la más adecuada.</w:t>
            </w:r>
          </w:p>
          <w:p w14:paraId="4AC511AB" w14:textId="2C29E790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4AC8C55E" w:rsidR="0015354C" w:rsidRDefault="002F2C19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3C3702A2" w:rsidR="0015354C" w:rsidRDefault="00FD76D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56CCEDB" wp14:editId="5A485E68">
                  <wp:extent cx="2431455" cy="1524000"/>
                  <wp:effectExtent l="0" t="0" r="6985" b="0"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49D08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E8CFBC7" w14:textId="277750AB" w:rsidR="00097B2F" w:rsidRDefault="00FD76D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Ubique la muestra alineándola sobre el porta muestra u objetivo y acerque los ojos a los ocupares para iniciar el proceso de observación.</w:t>
            </w:r>
          </w:p>
          <w:p w14:paraId="43A110F9" w14:textId="752B05DE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3E31A85" w14:textId="7777777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10A8004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39A9A109" w:rsidR="0015354C" w:rsidRDefault="00FD76D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B939D3A" wp14:editId="29039470">
                  <wp:extent cx="2431455" cy="1524000"/>
                  <wp:effectExtent l="0" t="0" r="6985" b="0"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7ADEB1F" w14:textId="33183887" w:rsidR="00097B2F" w:rsidRDefault="00FD76D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Ajuste los oculares agarrándolos con ambas manos y desplácelos a la derecha o a la izquierda dependiendo de la necesidad hasta que la muestra se vea correctamente.</w:t>
            </w:r>
            <w:r w:rsidRPr="00FD76D9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7EF8D596" w14:textId="42BFF930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291523D" w14:textId="7777777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0A1AEC32" w14:textId="6A7D4372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27CB0FC5" w:rsidR="0015354C" w:rsidRDefault="00FD76D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428CC7D" wp14:editId="1C399BAC">
                  <wp:extent cx="2431455" cy="1524000"/>
                  <wp:effectExtent l="0" t="0" r="6985" b="0"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con la re</w:t>
            </w:r>
            <w:bookmarkStart w:id="0" w:name="_GoBack"/>
            <w:bookmarkEnd w:id="0"/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6497AB4" w14:textId="77777777" w:rsidR="00236151" w:rsidRPr="00236151" w:rsidRDefault="00FD76D9" w:rsidP="00236151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Ajuste el aumento, hasta que la muestra se vea más clara o correctamente.</w:t>
            </w:r>
            <w:r w:rsidR="00236151">
              <w:rPr>
                <w:rFonts w:asciiTheme="majorHAnsi" w:hAnsiTheme="majorHAnsi" w:cstheme="minorHAnsi"/>
                <w:i/>
                <w:lang w:val="es-CO"/>
              </w:rPr>
              <w:t xml:space="preserve">  </w:t>
            </w:r>
            <w:r w:rsidR="00236151" w:rsidRPr="00236151">
              <w:rPr>
                <w:rFonts w:asciiTheme="majorHAnsi" w:hAnsiTheme="majorHAnsi" w:cstheme="minorHAnsi"/>
                <w:b/>
                <w:lang w:val="es-CO"/>
              </w:rPr>
              <w:t>( Falta)</w:t>
            </w:r>
          </w:p>
          <w:p w14:paraId="096CBAA1" w14:textId="2EC99442" w:rsidR="00097B2F" w:rsidRDefault="00097B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643E16B" w14:textId="7777777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1908924" w14:textId="7C0CE89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7D86E7AE" w:rsidR="0015354C" w:rsidRDefault="00FD76D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3B72F1AD" wp14:editId="43AE503D">
                  <wp:extent cx="2431455" cy="1524000"/>
                  <wp:effectExtent l="0" t="0" r="6985" b="0"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2F479" w14:textId="77777777" w:rsidR="00236151" w:rsidRPr="00236151" w:rsidRDefault="00FD76D9" w:rsidP="00236151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Acérquese o ajuste la muestra con el botón de mando.</w:t>
            </w:r>
            <w:r w:rsidR="00236151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236151" w:rsidRPr="00236151">
              <w:rPr>
                <w:rFonts w:asciiTheme="majorHAnsi" w:hAnsiTheme="majorHAnsi" w:cstheme="minorHAnsi"/>
                <w:b/>
                <w:lang w:val="es-CO"/>
              </w:rPr>
              <w:t>( Falta)</w:t>
            </w:r>
          </w:p>
          <w:p w14:paraId="6E4C9F59" w14:textId="70BE0C18" w:rsidR="00FD76D9" w:rsidRDefault="00FD76D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4314613" w14:textId="77777777" w:rsidR="00FD76D9" w:rsidRDefault="00FD76D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0C89F965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52B8363" w14:textId="7777777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E743D36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77777777" w:rsidR="00FD76D9" w:rsidRDefault="00FD76D9" w:rsidP="00FB340A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B2FC9C0" wp14:editId="435B8232">
                  <wp:extent cx="2431455" cy="1524000"/>
                  <wp:effectExtent l="0" t="0" r="6985" b="0"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6D71B4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8AFE1A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E70A6A5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2B6061F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15A89B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45F217E0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38AD6D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06120F1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9399CCA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2409FB0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43B0685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775DF27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FFEB5E8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23E1C21" w14:textId="32DA0351" w:rsidR="00FD76D9" w:rsidRDefault="00FD76D9" w:rsidP="00FB340A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Cambie el aumento girando la perilla de Zoom hasta que se tenga el aumento deseado.</w:t>
            </w:r>
            <w:r w:rsidRPr="00FD76D9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62A52C6E" w14:textId="77777777" w:rsidR="00FD76D9" w:rsidRDefault="00FD76D9" w:rsidP="00FB340A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3CA1714" w14:textId="77777777" w:rsidR="00FD76D9" w:rsidRDefault="00FD76D9" w:rsidP="00FB340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15C4BAD" w14:textId="7777777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el estereoscopio para observar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45C75772" w14:textId="77777777" w:rsidR="00FD76D9" w:rsidRPr="00B54096" w:rsidRDefault="00FD76D9" w:rsidP="00FB340A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B727F64" w14:textId="77777777" w:rsidR="00FD76D9" w:rsidRPr="004E1810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FD76D9" w:rsidRPr="00BB0471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FD76D9" w:rsidRDefault="00FD76D9" w:rsidP="00FB340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47BD82BB" w:rsidR="00FD76D9" w:rsidRDefault="00FD76D9" w:rsidP="00FD76D9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C4D1ECB" wp14:editId="45A329F0">
                  <wp:extent cx="2431455" cy="1524000"/>
                  <wp:effectExtent l="0" t="0" r="6985" b="0"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F8CAE0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2FC6A0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7D6111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5D01BC3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69D76A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01DE7A48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F05CECF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>En el paso a paso aparecen textos de apoyo que complementan la explicación.</w:t>
            </w:r>
          </w:p>
          <w:p w14:paraId="2CDBACF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72ABBDE8" w14:textId="0286B74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531DFD6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564BB5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4738B4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FB20FEF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DD9D576" w14:textId="412292A8" w:rsidR="00FD76D9" w:rsidRPr="00236151" w:rsidRDefault="00FD76D9" w:rsidP="00FD76D9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Observe la muestra al ajustar el aumento y acomodar los oculares.</w:t>
            </w:r>
            <w:r w:rsidR="00236151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236151" w:rsidRPr="00236151">
              <w:rPr>
                <w:rFonts w:asciiTheme="majorHAnsi" w:hAnsiTheme="majorHAnsi" w:cstheme="minorHAnsi"/>
                <w:b/>
                <w:lang w:val="es-CO"/>
              </w:rPr>
              <w:t>( Falta)</w:t>
            </w:r>
          </w:p>
          <w:p w14:paraId="6A054F47" w14:textId="77777777" w:rsidR="00FD76D9" w:rsidRDefault="00FD76D9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8DF0A3B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CCFF61A" w14:textId="28A81C67" w:rsidR="002F2C19" w:rsidRDefault="002F2C19" w:rsidP="002F2C1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lastRenderedPageBreak/>
              <w:t>Observando la muestra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7C19A186" w14:textId="4D990C53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FFAA501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11917CFF" w:rsidR="00FD76D9" w:rsidRDefault="00FD76D9" w:rsidP="00FD76D9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574EC73" wp14:editId="419FB8E4">
                  <wp:extent cx="2431455" cy="1524000"/>
                  <wp:effectExtent l="0" t="0" r="6985" b="0"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21" cy="15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784D6C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2F480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6EA60C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8F62E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FD2CD27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15152DB5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88738BE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698AF83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4282F97" w14:textId="4A91E9F0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AC8829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947A67D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CCAE101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E26A3CC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27C45D8" w14:textId="4703D196" w:rsidR="00FD76D9" w:rsidRDefault="00FD76D9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FD76D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Al terminar recuerde limpiar bien el equipo y dejarlo en la posición o forma en la que estaba al inicio.</w:t>
            </w:r>
          </w:p>
          <w:p w14:paraId="788C46F3" w14:textId="77777777" w:rsidR="00FD76D9" w:rsidRDefault="00FD76D9" w:rsidP="00FD76D9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49038C0" w14:textId="77777777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B650511" w14:textId="3060222A" w:rsidR="00FD76D9" w:rsidRDefault="002F2C1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F2C19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Finalizando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33C76118" w14:textId="1106FB1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48A6FC97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FCCDC8F" w14:textId="25F07BF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2F4E0D0" w14:textId="162BB5F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6761767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4F714D1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17AF679" w14:textId="6AADBE05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81F4953" w14:textId="15D01476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34CDD9B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1BE32E25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68E0539D" w14:textId="3E8DD56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0AFF6FA" w14:textId="265FA6C7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9A2AE0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2CA664E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4A9EB88" w14:textId="7B905D24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28FA06A2" w14:textId="62413B64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ADD4E78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067A01EF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2744F7CD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60783759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00EEB3E6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28168071" w:rsidR="00FD76D9" w:rsidRDefault="00FD76D9" w:rsidP="00FD76D9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62A326DB" w:rsidR="00FD76D9" w:rsidRDefault="00FD76D9" w:rsidP="00FD76D9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FD76D9" w:rsidRPr="00B54096" w:rsidRDefault="00FD76D9" w:rsidP="00FD76D9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FD76D9" w:rsidRPr="004E1810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FD76D9" w:rsidRPr="00BB0471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FD76D9" w:rsidRDefault="00FD76D9" w:rsidP="00FD76D9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FD76D9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FD76D9" w:rsidRPr="00327BA2" w:rsidRDefault="00FD76D9" w:rsidP="00FD76D9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FD76D9" w:rsidRPr="00327BA2" w:rsidRDefault="00FD76D9" w:rsidP="00FD76D9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FD76D9" w:rsidRPr="00327BA2" w:rsidRDefault="00FD76D9" w:rsidP="00FD76D9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FD76D9" w:rsidRPr="00327BA2" w:rsidRDefault="00FD76D9" w:rsidP="00FD76D9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sectPr w:rsidR="00C7354C" w:rsidSect="00B44535">
      <w:headerReference w:type="default" r:id="rId9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77F5D" w14:textId="77777777" w:rsidR="005805AD" w:rsidRDefault="005805AD" w:rsidP="00541599">
      <w:r>
        <w:separator/>
      </w:r>
    </w:p>
  </w:endnote>
  <w:endnote w:type="continuationSeparator" w:id="0">
    <w:p w14:paraId="5AD115E0" w14:textId="77777777" w:rsidR="005805AD" w:rsidRDefault="005805AD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0CBED" w14:textId="77777777" w:rsidR="005805AD" w:rsidRDefault="005805AD" w:rsidP="00541599">
      <w:r>
        <w:separator/>
      </w:r>
    </w:p>
  </w:footnote>
  <w:footnote w:type="continuationSeparator" w:id="0">
    <w:p w14:paraId="16703E7D" w14:textId="77777777" w:rsidR="005805AD" w:rsidRDefault="005805AD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44874"/>
    <w:rsid w:val="00046418"/>
    <w:rsid w:val="0009347D"/>
    <w:rsid w:val="00094F6F"/>
    <w:rsid w:val="00097B2F"/>
    <w:rsid w:val="000A178B"/>
    <w:rsid w:val="000C1358"/>
    <w:rsid w:val="000C42B3"/>
    <w:rsid w:val="001041F2"/>
    <w:rsid w:val="00126E8C"/>
    <w:rsid w:val="0014562C"/>
    <w:rsid w:val="0015354C"/>
    <w:rsid w:val="00190B2B"/>
    <w:rsid w:val="001A3CFD"/>
    <w:rsid w:val="001C5DD6"/>
    <w:rsid w:val="001E3F09"/>
    <w:rsid w:val="001F3511"/>
    <w:rsid w:val="00221050"/>
    <w:rsid w:val="002331C1"/>
    <w:rsid w:val="00236151"/>
    <w:rsid w:val="00241999"/>
    <w:rsid w:val="0025744A"/>
    <w:rsid w:val="002A5375"/>
    <w:rsid w:val="002D3249"/>
    <w:rsid w:val="002D6FD7"/>
    <w:rsid w:val="002F2C19"/>
    <w:rsid w:val="00306738"/>
    <w:rsid w:val="0031000D"/>
    <w:rsid w:val="00314021"/>
    <w:rsid w:val="00327BA2"/>
    <w:rsid w:val="00333E09"/>
    <w:rsid w:val="00343267"/>
    <w:rsid w:val="00352DAF"/>
    <w:rsid w:val="00362978"/>
    <w:rsid w:val="00454682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805AD"/>
    <w:rsid w:val="005925E7"/>
    <w:rsid w:val="00593595"/>
    <w:rsid w:val="005C51AF"/>
    <w:rsid w:val="005D00CA"/>
    <w:rsid w:val="005D54B1"/>
    <w:rsid w:val="005D7207"/>
    <w:rsid w:val="005D7EAF"/>
    <w:rsid w:val="0061248A"/>
    <w:rsid w:val="006271B6"/>
    <w:rsid w:val="006345A9"/>
    <w:rsid w:val="006461E0"/>
    <w:rsid w:val="00655E40"/>
    <w:rsid w:val="006711EB"/>
    <w:rsid w:val="00695584"/>
    <w:rsid w:val="006B02F8"/>
    <w:rsid w:val="006B7CF5"/>
    <w:rsid w:val="006E2431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D2B11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B0778B"/>
    <w:rsid w:val="00B21474"/>
    <w:rsid w:val="00B44535"/>
    <w:rsid w:val="00B5010F"/>
    <w:rsid w:val="00B54096"/>
    <w:rsid w:val="00B62ADF"/>
    <w:rsid w:val="00B757AF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459F"/>
    <w:rsid w:val="00DB1D6F"/>
    <w:rsid w:val="00DB3440"/>
    <w:rsid w:val="00DC7ED4"/>
    <w:rsid w:val="00DD1695"/>
    <w:rsid w:val="00DD2A24"/>
    <w:rsid w:val="00DE330B"/>
    <w:rsid w:val="00E30A0F"/>
    <w:rsid w:val="00E43554"/>
    <w:rsid w:val="00E63ACF"/>
    <w:rsid w:val="00EA246C"/>
    <w:rsid w:val="00EB5C2E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834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5</cp:revision>
  <dcterms:created xsi:type="dcterms:W3CDTF">2017-12-28T16:37:00Z</dcterms:created>
  <dcterms:modified xsi:type="dcterms:W3CDTF">2018-07-09T20:38:00Z</dcterms:modified>
</cp:coreProperties>
</file>